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5A" w:rsidRPr="00EF335A" w:rsidRDefault="00EF335A" w:rsidP="00EF335A">
      <w:pPr>
        <w:widowControl/>
        <w:spacing w:before="225" w:after="225"/>
        <w:jc w:val="center"/>
        <w:outlineLvl w:val="0"/>
        <w:rPr>
          <w:rFonts w:ascii="宋体" w:eastAsia="宋体" w:hAnsi="宋体" w:cs="宋体"/>
          <w:b/>
          <w:bCs/>
          <w:color w:val="2063B1"/>
          <w:kern w:val="36"/>
          <w:sz w:val="42"/>
          <w:szCs w:val="42"/>
        </w:rPr>
      </w:pPr>
      <w:bookmarkStart w:id="0" w:name="_GoBack"/>
      <w:r w:rsidRPr="00EF335A">
        <w:rPr>
          <w:rFonts w:ascii="宋体" w:eastAsia="宋体" w:hAnsi="宋体" w:cs="宋体"/>
          <w:b/>
          <w:bCs/>
          <w:color w:val="2063B1"/>
          <w:kern w:val="36"/>
          <w:sz w:val="42"/>
          <w:szCs w:val="42"/>
        </w:rPr>
        <w:t>南京审计大学硕士研究生校外实践导师评聘与管理办法</w:t>
      </w:r>
    </w:p>
    <w:bookmarkEnd w:id="0"/>
    <w:p w:rsidR="00EF335A" w:rsidRPr="00EF335A" w:rsidRDefault="00EF335A" w:rsidP="00EF335A">
      <w:pPr>
        <w:widowControl/>
        <w:spacing w:before="300" w:after="300"/>
        <w:ind w:left="1200" w:right="300"/>
        <w:jc w:val="center"/>
        <w:rPr>
          <w:rFonts w:ascii="宋体" w:eastAsia="宋体" w:hAnsi="宋体" w:cs="宋体"/>
          <w:color w:val="444444"/>
          <w:kern w:val="0"/>
          <w:sz w:val="24"/>
          <w:szCs w:val="24"/>
        </w:rPr>
      </w:pPr>
      <w:r w:rsidRPr="00EF335A">
        <w:rPr>
          <w:rFonts w:ascii="宋体" w:eastAsia="宋体" w:hAnsi="宋体" w:cs="宋体"/>
          <w:color w:val="444444"/>
          <w:kern w:val="0"/>
          <w:sz w:val="24"/>
          <w:szCs w:val="24"/>
        </w:rPr>
        <w:t>发布时间：2018-07-09浏览次数：</w:t>
      </w:r>
      <w:r w:rsidRPr="00EF335A">
        <w:rPr>
          <w:rFonts w:ascii="宋体" w:eastAsia="宋体" w:hAnsi="宋体" w:cs="宋体"/>
          <w:vanish/>
          <w:color w:val="444444"/>
          <w:kern w:val="0"/>
          <w:sz w:val="24"/>
          <w:szCs w:val="24"/>
        </w:rPr>
        <w:t>11</w:t>
      </w:r>
    </w:p>
    <w:p w:rsidR="00EF335A" w:rsidRPr="00EF335A" w:rsidRDefault="00EF335A" w:rsidP="00EF335A">
      <w:pPr>
        <w:widowControl/>
        <w:spacing w:before="100" w:beforeAutospacing="1" w:line="360" w:lineRule="atLeast"/>
        <w:ind w:firstLine="480"/>
        <w:jc w:val="center"/>
        <w:rPr>
          <w:rFonts w:ascii="songti" w:eastAsia="宋体" w:hAnsi="songti" w:cs="宋体"/>
          <w:kern w:val="0"/>
          <w:sz w:val="24"/>
          <w:szCs w:val="24"/>
        </w:rPr>
      </w:pPr>
      <w:bookmarkStart w:id="1" w:name="_Toc516756534"/>
      <w:bookmarkEnd w:id="1"/>
      <w:proofErr w:type="gramStart"/>
      <w:r w:rsidRPr="00EF335A">
        <w:rPr>
          <w:rFonts w:ascii="Verdana" w:eastAsia="宋体" w:hAnsi="Verdana" w:cs="宋体"/>
          <w:color w:val="333333"/>
          <w:kern w:val="0"/>
          <w:sz w:val="24"/>
          <w:szCs w:val="24"/>
          <w:shd w:val="clear" w:color="auto" w:fill="FEFEFF"/>
        </w:rPr>
        <w:t>南审研发</w:t>
      </w:r>
      <w:proofErr w:type="gramEnd"/>
      <w:r w:rsidRPr="00EF335A">
        <w:rPr>
          <w:rFonts w:ascii="Verdana" w:eastAsia="宋体" w:hAnsi="Verdana" w:cs="宋体"/>
          <w:color w:val="333333"/>
          <w:kern w:val="0"/>
          <w:sz w:val="24"/>
          <w:szCs w:val="24"/>
          <w:shd w:val="clear" w:color="auto" w:fill="FEFEFF"/>
        </w:rPr>
        <w:t>〔</w:t>
      </w:r>
      <w:r w:rsidRPr="00EF335A">
        <w:rPr>
          <w:rFonts w:ascii="Verdana" w:eastAsia="宋体" w:hAnsi="Verdana" w:cs="宋体"/>
          <w:color w:val="333333"/>
          <w:kern w:val="0"/>
          <w:sz w:val="24"/>
          <w:szCs w:val="24"/>
          <w:shd w:val="clear" w:color="auto" w:fill="FEFEFF"/>
        </w:rPr>
        <w:t>2018</w:t>
      </w:r>
      <w:r w:rsidRPr="00EF335A">
        <w:rPr>
          <w:rFonts w:ascii="Verdana" w:eastAsia="宋体" w:hAnsi="Verdana" w:cs="宋体"/>
          <w:color w:val="333333"/>
          <w:kern w:val="0"/>
          <w:sz w:val="24"/>
          <w:szCs w:val="24"/>
          <w:shd w:val="clear" w:color="auto" w:fill="FEFEFF"/>
        </w:rPr>
        <w:t>〕</w:t>
      </w:r>
      <w:r w:rsidRPr="00EF335A">
        <w:rPr>
          <w:rFonts w:ascii="Verdana" w:eastAsia="宋体" w:hAnsi="Verdana" w:cs="宋体"/>
          <w:color w:val="333333"/>
          <w:kern w:val="0"/>
          <w:sz w:val="24"/>
          <w:szCs w:val="24"/>
          <w:shd w:val="clear" w:color="auto" w:fill="FEFEFF"/>
        </w:rPr>
        <w:t>40</w:t>
      </w:r>
      <w:r w:rsidRPr="00EF335A">
        <w:rPr>
          <w:rFonts w:ascii="Verdana" w:eastAsia="宋体" w:hAnsi="Verdana" w:cs="宋体"/>
          <w:color w:val="333333"/>
          <w:kern w:val="0"/>
          <w:sz w:val="24"/>
          <w:szCs w:val="24"/>
          <w:shd w:val="clear" w:color="auto" w:fill="FEFEFF"/>
        </w:rPr>
        <w:t>号，</w:t>
      </w:r>
      <w:r w:rsidRPr="00EF335A">
        <w:rPr>
          <w:rFonts w:ascii="Verdana" w:eastAsia="宋体" w:hAnsi="Verdana" w:cs="宋体"/>
          <w:color w:val="333333"/>
          <w:kern w:val="0"/>
          <w:sz w:val="24"/>
          <w:szCs w:val="24"/>
          <w:shd w:val="clear" w:color="auto" w:fill="FEFEFF"/>
        </w:rPr>
        <w:t>2018.06.29</w:t>
      </w:r>
    </w:p>
    <w:p w:rsidR="00EF335A" w:rsidRPr="00EF335A" w:rsidRDefault="00EF335A" w:rsidP="00EF335A">
      <w:pPr>
        <w:widowControl/>
        <w:spacing w:before="100" w:beforeAutospacing="1" w:line="360" w:lineRule="auto"/>
        <w:ind w:firstLine="475"/>
        <w:jc w:val="left"/>
        <w:rPr>
          <w:rFonts w:ascii="songti" w:eastAsia="宋体" w:hAnsi="songti" w:cs="宋体"/>
          <w:kern w:val="0"/>
          <w:sz w:val="24"/>
          <w:szCs w:val="24"/>
        </w:rPr>
      </w:pPr>
    </w:p>
    <w:p w:rsidR="00EF335A" w:rsidRPr="00EF335A" w:rsidRDefault="00EF335A" w:rsidP="00EF335A">
      <w:pPr>
        <w:widowControl/>
        <w:spacing w:before="100" w:beforeAutospacing="1" w:line="360" w:lineRule="auto"/>
        <w:ind w:firstLine="648"/>
        <w:jc w:val="left"/>
        <w:rPr>
          <w:rFonts w:ascii="songti" w:eastAsia="宋体" w:hAnsi="songti" w:cs="宋体"/>
          <w:kern w:val="0"/>
          <w:sz w:val="24"/>
          <w:szCs w:val="24"/>
        </w:rPr>
      </w:pPr>
      <w:r w:rsidRPr="00EF335A">
        <w:rPr>
          <w:rFonts w:ascii="仿宋" w:eastAsia="仿宋" w:hAnsi="仿宋" w:cs="宋体" w:hint="eastAsia"/>
          <w:b/>
          <w:bCs/>
          <w:kern w:val="0"/>
          <w:sz w:val="32"/>
          <w:szCs w:val="32"/>
        </w:rPr>
        <w:t xml:space="preserve">第一条 </w:t>
      </w:r>
      <w:r w:rsidRPr="00EF335A">
        <w:rPr>
          <w:rFonts w:ascii="Calibri" w:eastAsia="仿宋" w:hAnsi="Calibri" w:cs="Calibri"/>
          <w:b/>
          <w:bCs/>
          <w:kern w:val="0"/>
          <w:sz w:val="32"/>
          <w:szCs w:val="32"/>
        </w:rPr>
        <w:t> </w:t>
      </w:r>
      <w:r w:rsidRPr="00EF335A">
        <w:rPr>
          <w:rFonts w:ascii="仿宋" w:eastAsia="仿宋" w:hAnsi="仿宋" w:cs="宋体" w:hint="eastAsia"/>
          <w:b/>
          <w:bCs/>
          <w:kern w:val="0"/>
          <w:sz w:val="32"/>
          <w:szCs w:val="32"/>
        </w:rPr>
        <w:t>总则</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为进一步加强专业学位研究生导师队伍建设，充分发挥专业学位研究生校外实践指导教师（以下简称“校外实践导师”）的作用，进一步提高我校专业学位研究生培养质量，根据国家有关文件精神，结合我校硕士研究生指导教师评聘与管理办法，特制定本办法。</w:t>
      </w:r>
    </w:p>
    <w:p w:rsidR="00EF335A" w:rsidRPr="00EF335A" w:rsidRDefault="00EF335A" w:rsidP="00EF335A">
      <w:pPr>
        <w:widowControl/>
        <w:spacing w:before="100" w:beforeAutospacing="1" w:line="360" w:lineRule="auto"/>
        <w:ind w:firstLine="648"/>
        <w:jc w:val="left"/>
        <w:rPr>
          <w:rFonts w:ascii="songti" w:eastAsia="宋体" w:hAnsi="songti" w:cs="宋体"/>
          <w:kern w:val="0"/>
          <w:sz w:val="24"/>
          <w:szCs w:val="24"/>
        </w:rPr>
      </w:pPr>
      <w:r w:rsidRPr="00EF335A">
        <w:rPr>
          <w:rFonts w:ascii="仿宋" w:eastAsia="仿宋" w:hAnsi="仿宋" w:cs="宋体" w:hint="eastAsia"/>
          <w:b/>
          <w:bCs/>
          <w:kern w:val="0"/>
          <w:sz w:val="32"/>
          <w:szCs w:val="32"/>
        </w:rPr>
        <w:t xml:space="preserve">第二条 </w:t>
      </w:r>
      <w:r w:rsidRPr="00EF335A">
        <w:rPr>
          <w:rFonts w:ascii="Calibri" w:eastAsia="仿宋" w:hAnsi="Calibri" w:cs="Calibri"/>
          <w:b/>
          <w:bCs/>
          <w:kern w:val="0"/>
          <w:sz w:val="32"/>
          <w:szCs w:val="32"/>
        </w:rPr>
        <w:t> </w:t>
      </w:r>
      <w:r w:rsidRPr="00EF335A">
        <w:rPr>
          <w:rFonts w:ascii="仿宋" w:eastAsia="仿宋" w:hAnsi="仿宋" w:cs="宋体" w:hint="eastAsia"/>
          <w:b/>
          <w:bCs/>
          <w:kern w:val="0"/>
          <w:sz w:val="32"/>
          <w:szCs w:val="32"/>
        </w:rPr>
        <w:t>评聘范围</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我校在国务院学位委员会批准的具有硕士专业学位授予权的类别中设置相应的研究生校外实践导师岗位。</w:t>
      </w:r>
    </w:p>
    <w:p w:rsidR="00EF335A" w:rsidRPr="00EF335A" w:rsidRDefault="00EF335A" w:rsidP="00EF335A">
      <w:pPr>
        <w:widowControl/>
        <w:spacing w:before="100" w:beforeAutospacing="1" w:line="360" w:lineRule="auto"/>
        <w:ind w:firstLine="648"/>
        <w:jc w:val="left"/>
        <w:rPr>
          <w:rFonts w:ascii="songti" w:eastAsia="宋体" w:hAnsi="songti" w:cs="宋体"/>
          <w:kern w:val="0"/>
          <w:sz w:val="24"/>
          <w:szCs w:val="24"/>
        </w:rPr>
      </w:pPr>
      <w:r w:rsidRPr="00EF335A">
        <w:rPr>
          <w:rFonts w:ascii="仿宋" w:eastAsia="仿宋" w:hAnsi="仿宋" w:cs="宋体" w:hint="eastAsia"/>
          <w:b/>
          <w:bCs/>
          <w:kern w:val="0"/>
          <w:sz w:val="32"/>
          <w:szCs w:val="32"/>
        </w:rPr>
        <w:t xml:space="preserve">第三条 </w:t>
      </w:r>
      <w:r w:rsidRPr="00EF335A">
        <w:rPr>
          <w:rFonts w:ascii="Calibri" w:eastAsia="仿宋" w:hAnsi="Calibri" w:cs="Calibri"/>
          <w:b/>
          <w:bCs/>
          <w:kern w:val="0"/>
          <w:sz w:val="32"/>
          <w:szCs w:val="32"/>
        </w:rPr>
        <w:t> </w:t>
      </w:r>
      <w:r w:rsidRPr="00EF335A">
        <w:rPr>
          <w:rFonts w:ascii="仿宋" w:eastAsia="仿宋" w:hAnsi="仿宋" w:cs="宋体" w:hint="eastAsia"/>
          <w:b/>
          <w:bCs/>
          <w:kern w:val="0"/>
          <w:sz w:val="32"/>
          <w:szCs w:val="32"/>
        </w:rPr>
        <w:t>评聘基本条件</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对校外实践导师的聘任应严格把关、严格控制。评聘基本条件如下：</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lastRenderedPageBreak/>
        <w:t>1．具有良好的社会公德、职业道德、学术道德和工作责任心，能为人师表。</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2．来自政府部门、事业单位、大中型企业的高层次技术或管理骨干，一般应具有10年以上相关专业领域工作经验，并有一定的社会知名度。</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3．原则上具有高级职称或硕士以上学位，取得特殊业绩的专家可适当放宽学历职称要求。</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 xml:space="preserve">4．热心我校的教育事业，能在校企合作、实习基地建设等方面给予我校研究生教育具体支持，可以给硕士研究生提供必要的研究条件和研究经费支持。 </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5．首次聘任年龄原则上不超过57周岁。</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6．身体健康，能胜任指导硕士研究生的工作。</w:t>
      </w:r>
    </w:p>
    <w:p w:rsidR="00EF335A" w:rsidRPr="00EF335A" w:rsidRDefault="00EF335A" w:rsidP="00EF335A">
      <w:pPr>
        <w:widowControl/>
        <w:spacing w:before="100" w:beforeAutospacing="1" w:line="360" w:lineRule="auto"/>
        <w:ind w:firstLine="648"/>
        <w:jc w:val="left"/>
        <w:rPr>
          <w:rFonts w:ascii="songti" w:eastAsia="宋体" w:hAnsi="songti" w:cs="宋体"/>
          <w:kern w:val="0"/>
          <w:sz w:val="24"/>
          <w:szCs w:val="24"/>
        </w:rPr>
      </w:pPr>
      <w:r w:rsidRPr="00EF335A">
        <w:rPr>
          <w:rFonts w:ascii="仿宋" w:eastAsia="仿宋" w:hAnsi="仿宋" w:cs="宋体" w:hint="eastAsia"/>
          <w:b/>
          <w:bCs/>
          <w:kern w:val="0"/>
          <w:sz w:val="32"/>
          <w:szCs w:val="32"/>
        </w:rPr>
        <w:t xml:space="preserve">第四条 </w:t>
      </w:r>
      <w:r w:rsidRPr="00EF335A">
        <w:rPr>
          <w:rFonts w:ascii="Calibri" w:eastAsia="仿宋" w:hAnsi="Calibri" w:cs="Calibri"/>
          <w:b/>
          <w:bCs/>
          <w:kern w:val="0"/>
          <w:sz w:val="32"/>
          <w:szCs w:val="32"/>
        </w:rPr>
        <w:t> </w:t>
      </w:r>
      <w:r w:rsidRPr="00EF335A">
        <w:rPr>
          <w:rFonts w:ascii="仿宋" w:eastAsia="仿宋" w:hAnsi="仿宋" w:cs="宋体" w:hint="eastAsia"/>
          <w:b/>
          <w:bCs/>
          <w:kern w:val="0"/>
          <w:sz w:val="32"/>
          <w:szCs w:val="32"/>
        </w:rPr>
        <w:t>工作职责</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1．为专业学位研究生举办学术讲座、开展学术交流并能参与专业学位研究生课程的部分授课。</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2．关心研究生的学习、实践和成长，督促研究生完成各项任务；加强与校内导师的联系，与校内导师一起制定研究生实习实践和学位论文写作计划，参与研究生的中期</w:t>
      </w:r>
      <w:r w:rsidRPr="00EF335A">
        <w:rPr>
          <w:rFonts w:ascii="仿宋" w:eastAsia="仿宋" w:hAnsi="仿宋" w:cs="宋体" w:hint="eastAsia"/>
          <w:kern w:val="0"/>
          <w:sz w:val="32"/>
          <w:szCs w:val="32"/>
        </w:rPr>
        <w:lastRenderedPageBreak/>
        <w:t>考核、开题报告和学位论文的指导工作；协助做好研究生就业指导工作。</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3．为学校的政产学研合作提供帮助，为师生的科研、实习、实验提供便利条件，为学校发展争取或提供支持。</w:t>
      </w:r>
    </w:p>
    <w:p w:rsidR="00EF335A" w:rsidRPr="00EF335A" w:rsidRDefault="00EF335A" w:rsidP="00EF335A">
      <w:pPr>
        <w:widowControl/>
        <w:spacing w:before="100" w:beforeAutospacing="1" w:line="360" w:lineRule="auto"/>
        <w:ind w:firstLine="648"/>
        <w:jc w:val="left"/>
        <w:rPr>
          <w:rFonts w:ascii="songti" w:eastAsia="宋体" w:hAnsi="songti" w:cs="宋体"/>
          <w:kern w:val="0"/>
          <w:sz w:val="24"/>
          <w:szCs w:val="24"/>
        </w:rPr>
      </w:pPr>
      <w:r w:rsidRPr="00EF335A">
        <w:rPr>
          <w:rFonts w:ascii="仿宋" w:eastAsia="仿宋" w:hAnsi="仿宋" w:cs="宋体" w:hint="eastAsia"/>
          <w:b/>
          <w:bCs/>
          <w:kern w:val="0"/>
          <w:sz w:val="32"/>
          <w:szCs w:val="32"/>
        </w:rPr>
        <w:t xml:space="preserve">第五条 </w:t>
      </w:r>
      <w:r w:rsidRPr="00EF335A">
        <w:rPr>
          <w:rFonts w:ascii="Calibri" w:eastAsia="仿宋" w:hAnsi="Calibri" w:cs="Calibri"/>
          <w:b/>
          <w:bCs/>
          <w:kern w:val="0"/>
          <w:sz w:val="32"/>
          <w:szCs w:val="32"/>
        </w:rPr>
        <w:t> </w:t>
      </w:r>
      <w:r w:rsidRPr="00EF335A">
        <w:rPr>
          <w:rFonts w:ascii="仿宋" w:eastAsia="仿宋" w:hAnsi="仿宋" w:cs="宋体" w:hint="eastAsia"/>
          <w:b/>
          <w:bCs/>
          <w:kern w:val="0"/>
          <w:sz w:val="32"/>
          <w:szCs w:val="32"/>
        </w:rPr>
        <w:t>工作待遇</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取得任职资格的校外实践导师的工作报酬，根据教学工作量及指导研究生数量计发。</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1．根据所授课程或讲座按规定支付讲课酬金。</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2．受聘期内指导硕士研究生，按规定支付指导酬金。</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3．受聘期内在我校认定的重要刊物上发表第一署名单位为南京审计大学的科研成果，按规定发放科研奖励。</w:t>
      </w:r>
    </w:p>
    <w:p w:rsidR="00EF335A" w:rsidRPr="00EF335A" w:rsidRDefault="00EF335A" w:rsidP="00EF335A">
      <w:pPr>
        <w:widowControl/>
        <w:spacing w:before="100" w:beforeAutospacing="1" w:line="360" w:lineRule="auto"/>
        <w:ind w:firstLine="648"/>
        <w:jc w:val="left"/>
        <w:rPr>
          <w:rFonts w:ascii="songti" w:eastAsia="宋体" w:hAnsi="songti" w:cs="宋体"/>
          <w:kern w:val="0"/>
          <w:sz w:val="24"/>
          <w:szCs w:val="24"/>
        </w:rPr>
      </w:pPr>
      <w:r w:rsidRPr="00EF335A">
        <w:rPr>
          <w:rFonts w:ascii="仿宋" w:eastAsia="仿宋" w:hAnsi="仿宋" w:cs="宋体" w:hint="eastAsia"/>
          <w:b/>
          <w:bCs/>
          <w:kern w:val="0"/>
          <w:sz w:val="32"/>
          <w:szCs w:val="32"/>
        </w:rPr>
        <w:t xml:space="preserve">第六条 </w:t>
      </w:r>
      <w:r w:rsidRPr="00EF335A">
        <w:rPr>
          <w:rFonts w:ascii="Calibri" w:eastAsia="仿宋" w:hAnsi="Calibri" w:cs="Calibri"/>
          <w:b/>
          <w:bCs/>
          <w:kern w:val="0"/>
          <w:sz w:val="32"/>
          <w:szCs w:val="32"/>
        </w:rPr>
        <w:t> </w:t>
      </w:r>
      <w:r w:rsidRPr="00EF335A">
        <w:rPr>
          <w:rFonts w:ascii="仿宋" w:eastAsia="仿宋" w:hAnsi="仿宋" w:cs="宋体" w:hint="eastAsia"/>
          <w:b/>
          <w:bCs/>
          <w:kern w:val="0"/>
          <w:sz w:val="32"/>
          <w:szCs w:val="32"/>
        </w:rPr>
        <w:t>评聘工作程序</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校外实践导师评聘工作程序参见《南京审计大学硕士研究生指导教师评聘与管理办法》。</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校外实践导师申请人员须填报《南京审计大学硕士研究生校外实践导师申请表》（附表1）</w:t>
      </w:r>
      <w:proofErr w:type="gramStart"/>
      <w:r w:rsidRPr="00EF335A">
        <w:rPr>
          <w:rFonts w:ascii="仿宋" w:eastAsia="仿宋" w:hAnsi="仿宋" w:cs="宋体" w:hint="eastAsia"/>
          <w:kern w:val="0"/>
          <w:sz w:val="32"/>
          <w:szCs w:val="32"/>
        </w:rPr>
        <w:t>交相关</w:t>
      </w:r>
      <w:proofErr w:type="gramEnd"/>
      <w:r w:rsidRPr="00EF335A">
        <w:rPr>
          <w:rFonts w:ascii="仿宋" w:eastAsia="仿宋" w:hAnsi="仿宋" w:cs="宋体" w:hint="eastAsia"/>
          <w:kern w:val="0"/>
          <w:sz w:val="32"/>
          <w:szCs w:val="32"/>
        </w:rPr>
        <w:t>学院；相关学院须填报《申请硕士研究生校外实践导师人员审核情况汇</w:t>
      </w:r>
      <w:r w:rsidRPr="00EF335A">
        <w:rPr>
          <w:rFonts w:ascii="仿宋" w:eastAsia="仿宋" w:hAnsi="仿宋" w:cs="宋体" w:hint="eastAsia"/>
          <w:kern w:val="0"/>
          <w:sz w:val="32"/>
          <w:szCs w:val="32"/>
        </w:rPr>
        <w:lastRenderedPageBreak/>
        <w:t>总表》（附表2）</w:t>
      </w:r>
      <w:proofErr w:type="gramStart"/>
      <w:r w:rsidRPr="00EF335A">
        <w:rPr>
          <w:rFonts w:ascii="仿宋" w:eastAsia="仿宋" w:hAnsi="仿宋" w:cs="宋体" w:hint="eastAsia"/>
          <w:kern w:val="0"/>
          <w:sz w:val="32"/>
          <w:szCs w:val="32"/>
        </w:rPr>
        <w:t>交校学位</w:t>
      </w:r>
      <w:proofErr w:type="gramEnd"/>
      <w:r w:rsidRPr="00EF335A">
        <w:rPr>
          <w:rFonts w:ascii="仿宋" w:eastAsia="仿宋" w:hAnsi="仿宋" w:cs="宋体" w:hint="eastAsia"/>
          <w:kern w:val="0"/>
          <w:sz w:val="32"/>
          <w:szCs w:val="32"/>
        </w:rPr>
        <w:t>评定委员会办公室（研究生院）。</w:t>
      </w:r>
    </w:p>
    <w:p w:rsidR="00EF335A" w:rsidRPr="00EF335A" w:rsidRDefault="00EF335A" w:rsidP="00EF335A">
      <w:pPr>
        <w:widowControl/>
        <w:spacing w:before="100" w:beforeAutospacing="1" w:line="360" w:lineRule="auto"/>
        <w:ind w:firstLine="648"/>
        <w:jc w:val="left"/>
        <w:rPr>
          <w:rFonts w:ascii="songti" w:eastAsia="宋体" w:hAnsi="songti" w:cs="宋体"/>
          <w:kern w:val="0"/>
          <w:sz w:val="24"/>
          <w:szCs w:val="24"/>
        </w:rPr>
      </w:pPr>
      <w:r w:rsidRPr="00EF335A">
        <w:rPr>
          <w:rFonts w:ascii="仿宋" w:eastAsia="仿宋" w:hAnsi="仿宋" w:cs="宋体" w:hint="eastAsia"/>
          <w:b/>
          <w:bCs/>
          <w:kern w:val="0"/>
          <w:sz w:val="32"/>
          <w:szCs w:val="32"/>
        </w:rPr>
        <w:t xml:space="preserve">第七条 </w:t>
      </w:r>
      <w:r w:rsidRPr="00EF335A">
        <w:rPr>
          <w:rFonts w:ascii="Calibri" w:eastAsia="仿宋" w:hAnsi="Calibri" w:cs="Calibri"/>
          <w:b/>
          <w:bCs/>
          <w:kern w:val="0"/>
          <w:sz w:val="32"/>
          <w:szCs w:val="32"/>
        </w:rPr>
        <w:t> </w:t>
      </w:r>
      <w:r w:rsidRPr="00EF335A">
        <w:rPr>
          <w:rFonts w:ascii="仿宋" w:eastAsia="仿宋" w:hAnsi="仿宋" w:cs="宋体" w:hint="eastAsia"/>
          <w:b/>
          <w:bCs/>
          <w:kern w:val="0"/>
          <w:sz w:val="32"/>
          <w:szCs w:val="32"/>
        </w:rPr>
        <w:t>知识产权归属</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1．校外实践导师在聘任期间完成的相关工作和教学、科研等成果均属职务成果。其中，以南京审计大学为第一署名单位发表的论文和专著、申报奖励、专利和科研项目及经费等，知识产权属南京审计大学和实践导师本人共有。</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2．校外实践导师指导我校硕士研究生的研究成果，知识产权属于南京审计大学。实践导师和我校硕士研究生共同发表学术论文、出版专著、申报科研项目、获得专利和奖励时，硕士研究生的署名单位必须是南京审计大学。</w:t>
      </w:r>
    </w:p>
    <w:p w:rsidR="00EF335A" w:rsidRPr="00EF335A" w:rsidRDefault="00EF335A" w:rsidP="00EF335A">
      <w:pPr>
        <w:widowControl/>
        <w:spacing w:before="100" w:beforeAutospacing="1" w:line="360" w:lineRule="auto"/>
        <w:ind w:firstLine="648"/>
        <w:jc w:val="left"/>
        <w:rPr>
          <w:rFonts w:ascii="songti" w:eastAsia="宋体" w:hAnsi="songti" w:cs="宋体"/>
          <w:kern w:val="0"/>
          <w:sz w:val="24"/>
          <w:szCs w:val="24"/>
        </w:rPr>
      </w:pPr>
      <w:r w:rsidRPr="00EF335A">
        <w:rPr>
          <w:rFonts w:ascii="仿宋" w:eastAsia="仿宋" w:hAnsi="仿宋" w:cs="宋体" w:hint="eastAsia"/>
          <w:b/>
          <w:bCs/>
          <w:kern w:val="0"/>
          <w:sz w:val="32"/>
          <w:szCs w:val="32"/>
        </w:rPr>
        <w:t xml:space="preserve">第八条 </w:t>
      </w:r>
      <w:r w:rsidRPr="00EF335A">
        <w:rPr>
          <w:rFonts w:ascii="Calibri" w:eastAsia="仿宋" w:hAnsi="Calibri" w:cs="Calibri"/>
          <w:b/>
          <w:bCs/>
          <w:kern w:val="0"/>
          <w:sz w:val="32"/>
          <w:szCs w:val="32"/>
        </w:rPr>
        <w:t> </w:t>
      </w:r>
      <w:r w:rsidRPr="00EF335A">
        <w:rPr>
          <w:rFonts w:ascii="仿宋" w:eastAsia="仿宋" w:hAnsi="仿宋" w:cs="宋体" w:hint="eastAsia"/>
          <w:b/>
          <w:bCs/>
          <w:kern w:val="0"/>
          <w:sz w:val="32"/>
          <w:szCs w:val="32"/>
        </w:rPr>
        <w:t>其他</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 xml:space="preserve">1．校外实践导师由硕士专业学位授权点所在学院管理。各学院应加强与聘任人员的联系，充分发挥校外实践导师的作用，使校外实践导师能够开展实质性的工作。 </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2．每位校外实践导师原则上只能在一个硕士专业学位授权</w:t>
      </w:r>
      <w:proofErr w:type="gramStart"/>
      <w:r w:rsidRPr="00EF335A">
        <w:rPr>
          <w:rFonts w:ascii="仿宋" w:eastAsia="仿宋" w:hAnsi="仿宋" w:cs="宋体" w:hint="eastAsia"/>
          <w:kern w:val="0"/>
          <w:sz w:val="32"/>
          <w:szCs w:val="32"/>
        </w:rPr>
        <w:t>点担任</w:t>
      </w:r>
      <w:proofErr w:type="gramEnd"/>
      <w:r w:rsidRPr="00EF335A">
        <w:rPr>
          <w:rFonts w:ascii="仿宋" w:eastAsia="仿宋" w:hAnsi="仿宋" w:cs="宋体" w:hint="eastAsia"/>
          <w:kern w:val="0"/>
          <w:sz w:val="32"/>
          <w:szCs w:val="32"/>
        </w:rPr>
        <w:t>研究生指导工作。</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lastRenderedPageBreak/>
        <w:t>3．取得任职资格的校外实践导师聘期一般为三年。任职资格只在聘任期内有效，聘任期满需继续聘任，必须重新办理聘任手续。</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4．校学位评定委员会主席根据需要，可特聘校外实践导师，并向下一次校学位评定委员会全体会议通报。</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5．校外实践导师评聘工作一般每年开展一次，特殊情况另定。非经正式程序，各部门不得擅自聘请。</w:t>
      </w:r>
    </w:p>
    <w:p w:rsidR="00EF335A" w:rsidRPr="00EF335A" w:rsidRDefault="00EF335A" w:rsidP="00EF335A">
      <w:pPr>
        <w:widowControl/>
        <w:spacing w:before="100" w:beforeAutospacing="1" w:line="360" w:lineRule="auto"/>
        <w:ind w:firstLine="648"/>
        <w:jc w:val="left"/>
        <w:rPr>
          <w:rFonts w:ascii="songti" w:eastAsia="宋体" w:hAnsi="songti" w:cs="宋体"/>
          <w:kern w:val="0"/>
          <w:sz w:val="24"/>
          <w:szCs w:val="24"/>
        </w:rPr>
      </w:pPr>
      <w:r w:rsidRPr="00EF335A">
        <w:rPr>
          <w:rFonts w:ascii="仿宋" w:eastAsia="仿宋" w:hAnsi="仿宋" w:cs="宋体" w:hint="eastAsia"/>
          <w:b/>
          <w:bCs/>
          <w:kern w:val="0"/>
          <w:sz w:val="32"/>
          <w:szCs w:val="32"/>
        </w:rPr>
        <w:t xml:space="preserve">第九条 </w:t>
      </w:r>
      <w:r w:rsidRPr="00EF335A">
        <w:rPr>
          <w:rFonts w:ascii="Calibri" w:eastAsia="仿宋" w:hAnsi="Calibri" w:cs="Calibri"/>
          <w:b/>
          <w:bCs/>
          <w:kern w:val="0"/>
          <w:sz w:val="32"/>
          <w:szCs w:val="32"/>
        </w:rPr>
        <w:t> </w:t>
      </w:r>
      <w:r w:rsidRPr="00EF335A">
        <w:rPr>
          <w:rFonts w:ascii="仿宋" w:eastAsia="仿宋" w:hAnsi="仿宋" w:cs="宋体" w:hint="eastAsia"/>
          <w:b/>
          <w:bCs/>
          <w:kern w:val="0"/>
          <w:sz w:val="32"/>
          <w:szCs w:val="32"/>
        </w:rPr>
        <w:t>本办法自发文之日起试行，由校学位评定委员会办公室（研究生院）负责解释，原《南京审计大学硕士研究生校外实践导师评聘与管理办法》同时废止。</w:t>
      </w:r>
    </w:p>
    <w:p w:rsidR="00EF335A" w:rsidRPr="00EF335A" w:rsidRDefault="00EF335A" w:rsidP="00EF335A">
      <w:pPr>
        <w:widowControl/>
        <w:spacing w:before="100" w:beforeAutospacing="1" w:line="302" w:lineRule="atLeast"/>
        <w:ind w:firstLine="605"/>
        <w:jc w:val="left"/>
        <w:rPr>
          <w:rFonts w:ascii="songti" w:eastAsia="宋体" w:hAnsi="songti" w:cs="宋体"/>
          <w:kern w:val="0"/>
          <w:sz w:val="24"/>
          <w:szCs w:val="24"/>
        </w:rPr>
      </w:pP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附表：</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1．南京审计大学硕士研究生校外实践导师申请表</w:t>
      </w:r>
    </w:p>
    <w:p w:rsidR="00EF335A" w:rsidRPr="00EF335A" w:rsidRDefault="00EF335A" w:rsidP="00EF335A">
      <w:pPr>
        <w:widowControl/>
        <w:spacing w:before="100" w:beforeAutospacing="1" w:line="360" w:lineRule="auto"/>
        <w:ind w:firstLine="634"/>
        <w:jc w:val="left"/>
        <w:rPr>
          <w:rFonts w:ascii="songti" w:eastAsia="宋体" w:hAnsi="songti" w:cs="宋体"/>
          <w:kern w:val="0"/>
          <w:sz w:val="24"/>
          <w:szCs w:val="24"/>
        </w:rPr>
      </w:pPr>
      <w:r w:rsidRPr="00EF335A">
        <w:rPr>
          <w:rFonts w:ascii="仿宋" w:eastAsia="仿宋" w:hAnsi="仿宋" w:cs="宋体" w:hint="eastAsia"/>
          <w:kern w:val="0"/>
          <w:sz w:val="32"/>
          <w:szCs w:val="32"/>
        </w:rPr>
        <w:t>2．申请硕士研究生校外实践导师人员审核情况汇总表</w:t>
      </w:r>
    </w:p>
    <w:p w:rsidR="00D058AC" w:rsidRPr="00EF335A" w:rsidRDefault="00D058AC"/>
    <w:sectPr w:rsidR="00D058AC" w:rsidRPr="00EF335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ongti">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8D2"/>
    <w:rsid w:val="00D058AC"/>
    <w:rsid w:val="00E858D2"/>
    <w:rsid w:val="00EF33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C5E40A-33C8-4A23-95A8-A214A8869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EF335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F335A"/>
    <w:rPr>
      <w:rFonts w:ascii="宋体" w:eastAsia="宋体" w:hAnsi="宋体" w:cs="宋体"/>
      <w:b/>
      <w:bCs/>
      <w:kern w:val="36"/>
      <w:sz w:val="48"/>
      <w:szCs w:val="48"/>
    </w:rPr>
  </w:style>
  <w:style w:type="paragraph" w:customStyle="1" w:styleId="artimetas1">
    <w:name w:val="arti_metas1"/>
    <w:basedOn w:val="a"/>
    <w:rsid w:val="00EF335A"/>
    <w:pPr>
      <w:widowControl/>
      <w:spacing w:before="300" w:after="300"/>
      <w:ind w:left="300" w:right="300"/>
      <w:jc w:val="center"/>
    </w:pPr>
    <w:rPr>
      <w:rFonts w:ascii="宋体" w:eastAsia="宋体" w:hAnsi="宋体" w:cs="宋体"/>
      <w:color w:val="444444"/>
      <w:kern w:val="0"/>
      <w:sz w:val="24"/>
      <w:szCs w:val="24"/>
    </w:rPr>
  </w:style>
  <w:style w:type="character" w:customStyle="1" w:styleId="wpvisitcount1">
    <w:name w:val="wp_visitcount1"/>
    <w:basedOn w:val="a0"/>
    <w:rsid w:val="00EF335A"/>
    <w:rPr>
      <w:vanish/>
      <w:webHidden w:val="0"/>
      <w:specVanish w:val="0"/>
    </w:rPr>
  </w:style>
  <w:style w:type="character" w:styleId="a3">
    <w:name w:val="Strong"/>
    <w:basedOn w:val="a0"/>
    <w:uiPriority w:val="22"/>
    <w:qFormat/>
    <w:rsid w:val="00EF33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414178">
      <w:bodyDiv w:val="1"/>
      <w:marLeft w:val="0"/>
      <w:marRight w:val="0"/>
      <w:marTop w:val="0"/>
      <w:marBottom w:val="0"/>
      <w:divBdr>
        <w:top w:val="none" w:sz="0" w:space="0" w:color="auto"/>
        <w:left w:val="none" w:sz="0" w:space="0" w:color="auto"/>
        <w:bottom w:val="none" w:sz="0" w:space="0" w:color="auto"/>
        <w:right w:val="none" w:sz="0" w:space="0" w:color="auto"/>
      </w:divBdr>
      <w:divsChild>
        <w:div w:id="1702510137">
          <w:marLeft w:val="0"/>
          <w:marRight w:val="0"/>
          <w:marTop w:val="0"/>
          <w:marBottom w:val="0"/>
          <w:divBdr>
            <w:top w:val="none" w:sz="0" w:space="0" w:color="auto"/>
            <w:left w:val="none" w:sz="0" w:space="0" w:color="auto"/>
            <w:bottom w:val="none" w:sz="0" w:space="0" w:color="auto"/>
            <w:right w:val="none" w:sz="0" w:space="0" w:color="auto"/>
          </w:divBdr>
          <w:divsChild>
            <w:div w:id="1195536548">
              <w:marLeft w:val="0"/>
              <w:marRight w:val="0"/>
              <w:marTop w:val="0"/>
              <w:marBottom w:val="0"/>
              <w:divBdr>
                <w:top w:val="none" w:sz="0" w:space="0" w:color="auto"/>
                <w:left w:val="none" w:sz="0" w:space="0" w:color="auto"/>
                <w:bottom w:val="none" w:sz="0" w:space="0" w:color="auto"/>
                <w:right w:val="none" w:sz="0" w:space="0" w:color="auto"/>
              </w:divBdr>
              <w:divsChild>
                <w:div w:id="823547421">
                  <w:marLeft w:val="900"/>
                  <w:marRight w:val="0"/>
                  <w:marTop w:val="150"/>
                  <w:marBottom w:val="150"/>
                  <w:divBdr>
                    <w:top w:val="none" w:sz="0" w:space="0" w:color="auto"/>
                    <w:left w:val="none" w:sz="0" w:space="0" w:color="auto"/>
                    <w:bottom w:val="none" w:sz="0" w:space="0" w:color="auto"/>
                    <w:right w:val="none" w:sz="0" w:space="0" w:color="auto"/>
                  </w:divBdr>
                  <w:divsChild>
                    <w:div w:id="33428259">
                      <w:marLeft w:val="0"/>
                      <w:marRight w:val="0"/>
                      <w:marTop w:val="0"/>
                      <w:marBottom w:val="0"/>
                      <w:divBdr>
                        <w:top w:val="none" w:sz="0" w:space="0" w:color="auto"/>
                        <w:left w:val="none" w:sz="0" w:space="0" w:color="auto"/>
                        <w:bottom w:val="none" w:sz="0" w:space="0" w:color="auto"/>
                        <w:right w:val="none" w:sz="0" w:space="0" w:color="auto"/>
                      </w:divBdr>
                      <w:divsChild>
                        <w:div w:id="2113548752">
                          <w:marLeft w:val="0"/>
                          <w:marRight w:val="0"/>
                          <w:marTop w:val="0"/>
                          <w:marBottom w:val="0"/>
                          <w:divBdr>
                            <w:top w:val="none" w:sz="0" w:space="0" w:color="auto"/>
                            <w:left w:val="none" w:sz="0" w:space="0" w:color="auto"/>
                            <w:bottom w:val="none" w:sz="0" w:space="0" w:color="auto"/>
                            <w:right w:val="none" w:sz="0" w:space="0" w:color="auto"/>
                          </w:divBdr>
                          <w:divsChild>
                            <w:div w:id="1645965106">
                              <w:marLeft w:val="0"/>
                              <w:marRight w:val="0"/>
                              <w:marTop w:val="0"/>
                              <w:marBottom w:val="0"/>
                              <w:divBdr>
                                <w:top w:val="none" w:sz="0" w:space="0" w:color="auto"/>
                                <w:left w:val="none" w:sz="0" w:space="0" w:color="auto"/>
                                <w:bottom w:val="none" w:sz="0" w:space="0" w:color="auto"/>
                                <w:right w:val="none" w:sz="0" w:space="0" w:color="auto"/>
                              </w:divBdr>
                              <w:divsChild>
                                <w:div w:id="764228571">
                                  <w:marLeft w:val="0"/>
                                  <w:marRight w:val="0"/>
                                  <w:marTop w:val="0"/>
                                  <w:marBottom w:val="0"/>
                                  <w:divBdr>
                                    <w:top w:val="none" w:sz="0" w:space="0" w:color="auto"/>
                                    <w:left w:val="none" w:sz="0" w:space="0" w:color="auto"/>
                                    <w:bottom w:val="none" w:sz="0" w:space="0" w:color="auto"/>
                                    <w:right w:val="none" w:sz="0" w:space="0" w:color="auto"/>
                                  </w:divBdr>
                                  <w:divsChild>
                                    <w:div w:id="1955600257">
                                      <w:marLeft w:val="0"/>
                                      <w:marRight w:val="0"/>
                                      <w:marTop w:val="0"/>
                                      <w:marBottom w:val="0"/>
                                      <w:divBdr>
                                        <w:top w:val="none" w:sz="0" w:space="0" w:color="auto"/>
                                        <w:left w:val="none" w:sz="0" w:space="0" w:color="auto"/>
                                        <w:bottom w:val="none" w:sz="0" w:space="0" w:color="auto"/>
                                        <w:right w:val="none" w:sz="0" w:space="0" w:color="auto"/>
                                      </w:divBdr>
                                      <w:divsChild>
                                        <w:div w:id="2052727977">
                                          <w:marLeft w:val="0"/>
                                          <w:marRight w:val="0"/>
                                          <w:marTop w:val="5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248</Words>
  <Characters>1420</Characters>
  <Application>Microsoft Office Word</Application>
  <DocSecurity>0</DocSecurity>
  <Lines>11</Lines>
  <Paragraphs>3</Paragraphs>
  <ScaleCrop>false</ScaleCrop>
  <Company>Microsoft</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2020-04-26T07:25:00Z</dcterms:created>
  <dcterms:modified xsi:type="dcterms:W3CDTF">2020-04-26T07:25:00Z</dcterms:modified>
</cp:coreProperties>
</file>